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28D65" w14:textId="77777777" w:rsidR="003B6180" w:rsidRPr="003B6180" w:rsidRDefault="003B6180" w:rsidP="003B6180">
      <w:pPr>
        <w:spacing w:after="161" w:line="264" w:lineRule="atLeast"/>
        <w:ind w:left="0" w:right="0" w:firstLine="0"/>
        <w:outlineLvl w:val="0"/>
        <w:rPr>
          <w:rFonts w:ascii="Arial" w:hAnsi="Arial" w:cs="Arial"/>
          <w:b/>
          <w:bCs/>
          <w:color w:val="auto"/>
          <w:kern w:val="36"/>
          <w:sz w:val="48"/>
          <w:szCs w:val="48"/>
        </w:rPr>
      </w:pPr>
      <w:r w:rsidRPr="003B6180">
        <w:rPr>
          <w:rFonts w:ascii="Arial" w:hAnsi="Arial" w:cs="Arial"/>
          <w:b/>
          <w:bCs/>
          <w:color w:val="auto"/>
          <w:kern w:val="36"/>
          <w:sz w:val="48"/>
          <w:szCs w:val="48"/>
        </w:rPr>
        <w:t>Allergan Limited and Cephalon (UK) Limited named in advertisements for breaches of the ABPI Code of Practice</w:t>
      </w:r>
    </w:p>
    <w:p w14:paraId="59174138" w14:textId="77777777" w:rsidR="003B6180" w:rsidRPr="003B6180" w:rsidRDefault="003B6180" w:rsidP="003B6180">
      <w:pPr>
        <w:spacing w:after="0" w:line="240" w:lineRule="auto"/>
        <w:ind w:left="0" w:right="0" w:firstLine="0"/>
        <w:rPr>
          <w:rFonts w:ascii="Times New Roman" w:hAnsi="Times New Roman"/>
          <w:color w:val="auto"/>
          <w:sz w:val="24"/>
          <w:szCs w:val="24"/>
        </w:rPr>
      </w:pPr>
      <w:r w:rsidRPr="003B6180">
        <w:rPr>
          <w:rFonts w:ascii="Arial" w:hAnsi="Arial" w:cs="Arial"/>
          <w:i/>
          <w:iCs/>
          <w:color w:val="606364"/>
          <w:sz w:val="20"/>
          <w:szCs w:val="20"/>
        </w:rPr>
        <w:t>23/03/2011</w:t>
      </w:r>
    </w:p>
    <w:p w14:paraId="6C2DDFE7"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sz w:val="20"/>
          <w:szCs w:val="20"/>
        </w:rPr>
        <w:t>Allergan Limited and Cephalon (UK) Limited have each breached the ABPI Code of Practice for the Pharmaceutical Industry.  To highlight these breaches, both are the subject of advertisements in the medical, pharmaceutical and nursing press.</w:t>
      </w:r>
    </w:p>
    <w:p w14:paraId="36F38399"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sz w:val="20"/>
          <w:szCs w:val="20"/>
        </w:rPr>
        <w:t>​</w:t>
      </w:r>
    </w:p>
    <w:p w14:paraId="370C66F7"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b/>
          <w:bCs/>
          <w:color w:val="606364"/>
        </w:rPr>
        <w:t>Allergan – Case AUTH/2335/7/10</w:t>
      </w:r>
    </w:p>
    <w:p w14:paraId="71D6D829"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For failing to comply with an undertaking not to use data in a manner which had previously been ruled in breach of the Code, Allergan was ruled in breach of the following clauses of the Code: </w:t>
      </w:r>
    </w:p>
    <w:p w14:paraId="5A2F9334"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2          - Bringing discredit upon and reducing confidence in the pharmaceutical industry.</w:t>
      </w:r>
    </w:p>
    <w:p w14:paraId="6E2F2AE6"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9.1       - Failing to maintain high standards.</w:t>
      </w:r>
    </w:p>
    <w:p w14:paraId="228DA0CF"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25        - Failing to comply with an undertaking.</w:t>
      </w:r>
    </w:p>
    <w:p w14:paraId="2E5EE45D"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 </w:t>
      </w:r>
    </w:p>
    <w:p w14:paraId="096BA259"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b/>
          <w:bCs/>
          <w:color w:val="606364"/>
        </w:rPr>
        <w:t>Allergan – Case AUTH/2346/8/10</w:t>
      </w:r>
    </w:p>
    <w:p w14:paraId="013FECA7"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For failing to comply with an undertaking not to use data in a manner which had previously been ruled in breach of the Code, Allergan was ruled in breach of the following clauses of the Code: </w:t>
      </w:r>
    </w:p>
    <w:p w14:paraId="0C667E9D"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2          - Bringing discredit upon and reducing confidence in the pharmaceutical industry.</w:t>
      </w:r>
    </w:p>
    <w:p w14:paraId="53140C80"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9.1       - Failing to maintain high standards.</w:t>
      </w:r>
    </w:p>
    <w:p w14:paraId="43306A12"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25        - Failing to comply with an undertaking.</w:t>
      </w:r>
      <w:bookmarkStart w:id="0" w:name="_GoBack"/>
      <w:bookmarkEnd w:id="0"/>
    </w:p>
    <w:p w14:paraId="33621559"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 </w:t>
      </w:r>
    </w:p>
    <w:p w14:paraId="54D9C4E2"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b/>
          <w:bCs/>
          <w:color w:val="606364"/>
        </w:rPr>
        <w:t>Cephalon – Case AUTH/2361/10/10</w:t>
      </w:r>
    </w:p>
    <w:p w14:paraId="4162EBDE"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For providing inappropriate hospitality to delegates it had sponsored to attend a European conference, Cephalon was ruled in breach of the following clauses of the Code:</w:t>
      </w:r>
    </w:p>
    <w:p w14:paraId="0AFF6E5B"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2          - Bringing discredit upon the pharmaceutical industry.</w:t>
      </w:r>
    </w:p>
    <w:p w14:paraId="04395036"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1.7       - Failing to comply with all applicable codes.</w:t>
      </w:r>
    </w:p>
    <w:p w14:paraId="25C6CF1B"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9.1       - Failing to maintain high standards.</w:t>
      </w:r>
    </w:p>
    <w:p w14:paraId="57040E15"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15.2     - Representatives failing to maintain a high standard of ethical conduct.</w:t>
      </w:r>
    </w:p>
    <w:p w14:paraId="519D1C36"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15.9     - Distributing briefing material which advocated a course of action likely to breach the Code.</w:t>
      </w:r>
    </w:p>
    <w:p w14:paraId="135022A1"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Clause 19.1     - Providing excessive hospitality.</w:t>
      </w:r>
    </w:p>
    <w:p w14:paraId="044D3A42"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 </w:t>
      </w:r>
    </w:p>
    <w:p w14:paraId="21C09932"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Under provisions in its Constitution and Procedure, the Prescription Medicines Code of Practice Authority (PMCPA) advertises brief details of all cases where companies are ruled in breach of Clause 2 of the Code, are required to issue a corrective statement or are the subject of a public reprimand. </w:t>
      </w:r>
    </w:p>
    <w:p w14:paraId="74C1D4E0"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 </w:t>
      </w:r>
    </w:p>
    <w:p w14:paraId="4B107AAD"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The advertisements will appear in </w:t>
      </w:r>
      <w:r w:rsidRPr="003B6180">
        <w:rPr>
          <w:rFonts w:ascii="Arial" w:hAnsi="Arial" w:cs="Arial"/>
          <w:i/>
          <w:iCs/>
          <w:color w:val="606364"/>
        </w:rPr>
        <w:t>The Nursing Standard</w:t>
      </w:r>
      <w:r w:rsidRPr="003B6180">
        <w:rPr>
          <w:rFonts w:ascii="Arial" w:hAnsi="Arial" w:cs="Arial"/>
          <w:color w:val="606364"/>
        </w:rPr>
        <w:t> on 24 March 2011 and the </w:t>
      </w:r>
      <w:r w:rsidRPr="003B6180">
        <w:rPr>
          <w:rFonts w:ascii="Arial" w:hAnsi="Arial" w:cs="Arial"/>
          <w:i/>
          <w:iCs/>
          <w:color w:val="606364"/>
        </w:rPr>
        <w:t>BMJ </w:t>
      </w:r>
      <w:r w:rsidRPr="003B6180">
        <w:rPr>
          <w:rFonts w:ascii="Arial" w:hAnsi="Arial" w:cs="Arial"/>
          <w:color w:val="606364"/>
        </w:rPr>
        <w:t>and </w:t>
      </w:r>
      <w:r w:rsidRPr="003B6180">
        <w:rPr>
          <w:rFonts w:ascii="Arial" w:hAnsi="Arial" w:cs="Arial"/>
          <w:i/>
          <w:iCs/>
          <w:color w:val="606364"/>
        </w:rPr>
        <w:t>The Pharmaceutical Journal </w:t>
      </w:r>
      <w:r w:rsidRPr="003B6180">
        <w:rPr>
          <w:rFonts w:ascii="Arial" w:hAnsi="Arial" w:cs="Arial"/>
          <w:color w:val="606364"/>
        </w:rPr>
        <w:t>on 26 March 2011. </w:t>
      </w:r>
    </w:p>
    <w:p w14:paraId="523F2EDD"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 </w:t>
      </w:r>
    </w:p>
    <w:p w14:paraId="5CF5C354" w14:textId="77777777" w:rsidR="003B6180" w:rsidRPr="003B6180" w:rsidRDefault="003B6180" w:rsidP="003B6180">
      <w:pPr>
        <w:spacing w:after="0" w:line="240" w:lineRule="auto"/>
        <w:ind w:left="0" w:right="0" w:firstLine="0"/>
        <w:rPr>
          <w:rFonts w:ascii="Arial" w:hAnsi="Arial" w:cs="Arial"/>
          <w:color w:val="606364"/>
          <w:sz w:val="20"/>
          <w:szCs w:val="20"/>
        </w:rPr>
      </w:pPr>
      <w:r w:rsidRPr="003B6180">
        <w:rPr>
          <w:rFonts w:ascii="Arial" w:hAnsi="Arial" w:cs="Arial"/>
          <w:color w:val="606364"/>
        </w:rPr>
        <w:t>The full case reports were published in the PMCPA February Code of Practice Review and are also available at </w:t>
      </w:r>
      <w:hyperlink r:id="rId4" w:history="1">
        <w:r w:rsidRPr="003B6180">
          <w:rPr>
            <w:rFonts w:ascii="Arial" w:hAnsi="Arial" w:cs="Arial"/>
            <w:color w:val="0000FF"/>
            <w:u w:val="single"/>
          </w:rPr>
          <w:t>www.pmcpa.org.uk</w:t>
        </w:r>
      </w:hyperlink>
      <w:r w:rsidRPr="003B6180">
        <w:rPr>
          <w:rFonts w:ascii="Arial" w:hAnsi="Arial" w:cs="Arial"/>
          <w:color w:val="606364"/>
        </w:rPr>
        <w:t>.</w:t>
      </w:r>
    </w:p>
    <w:p w14:paraId="34EA8829" w14:textId="77777777" w:rsidR="00AE02DE" w:rsidRDefault="00AE02DE"/>
    <w:sectPr w:rsidR="00AE0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80"/>
    <w:rsid w:val="003B6180"/>
    <w:rsid w:val="00AE02DE"/>
    <w:rsid w:val="00E11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3FC1"/>
  <w15:chartTrackingRefBased/>
  <w15:docId w15:val="{0CD3E10C-D3BD-4104-82E1-37275686A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867"/>
    <w:pPr>
      <w:spacing w:after="6" w:line="248" w:lineRule="auto"/>
      <w:ind w:left="10" w:right="64" w:hanging="10"/>
    </w:pPr>
    <w:rPr>
      <w:rFonts w:cs="Times New Roman"/>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832124">
      <w:bodyDiv w:val="1"/>
      <w:marLeft w:val="0"/>
      <w:marRight w:val="0"/>
      <w:marTop w:val="0"/>
      <w:marBottom w:val="0"/>
      <w:divBdr>
        <w:top w:val="none" w:sz="0" w:space="0" w:color="auto"/>
        <w:left w:val="none" w:sz="0" w:space="0" w:color="auto"/>
        <w:bottom w:val="none" w:sz="0" w:space="0" w:color="auto"/>
        <w:right w:val="none" w:sz="0" w:space="0" w:color="auto"/>
      </w:divBdr>
      <w:divsChild>
        <w:div w:id="1332179555">
          <w:marLeft w:val="0"/>
          <w:marRight w:val="0"/>
          <w:marTop w:val="0"/>
          <w:marBottom w:val="0"/>
          <w:divBdr>
            <w:top w:val="none" w:sz="0" w:space="0" w:color="auto"/>
            <w:left w:val="none" w:sz="0" w:space="0" w:color="auto"/>
            <w:bottom w:val="none" w:sz="0" w:space="0" w:color="auto"/>
            <w:right w:val="none" w:sz="0" w:space="0" w:color="auto"/>
          </w:divBdr>
        </w:div>
        <w:div w:id="2070374489">
          <w:marLeft w:val="0"/>
          <w:marRight w:val="0"/>
          <w:marTop w:val="0"/>
          <w:marBottom w:val="0"/>
          <w:divBdr>
            <w:top w:val="none" w:sz="0" w:space="0" w:color="auto"/>
            <w:left w:val="none" w:sz="0" w:space="0" w:color="auto"/>
            <w:bottom w:val="none" w:sz="0" w:space="0" w:color="auto"/>
            <w:right w:val="none" w:sz="0" w:space="0" w:color="auto"/>
          </w:divBdr>
        </w:div>
        <w:div w:id="1301762813">
          <w:marLeft w:val="0"/>
          <w:marRight w:val="0"/>
          <w:marTop w:val="0"/>
          <w:marBottom w:val="0"/>
          <w:divBdr>
            <w:top w:val="none" w:sz="0" w:space="0" w:color="auto"/>
            <w:left w:val="none" w:sz="0" w:space="0" w:color="auto"/>
            <w:bottom w:val="none" w:sz="0" w:space="0" w:color="auto"/>
            <w:right w:val="none" w:sz="0" w:space="0" w:color="auto"/>
          </w:divBdr>
        </w:div>
        <w:div w:id="1283339269">
          <w:marLeft w:val="0"/>
          <w:marRight w:val="0"/>
          <w:marTop w:val="0"/>
          <w:marBottom w:val="0"/>
          <w:divBdr>
            <w:top w:val="none" w:sz="0" w:space="0" w:color="auto"/>
            <w:left w:val="none" w:sz="0" w:space="0" w:color="auto"/>
            <w:bottom w:val="none" w:sz="0" w:space="0" w:color="auto"/>
            <w:right w:val="none" w:sz="0" w:space="0" w:color="auto"/>
          </w:divBdr>
        </w:div>
        <w:div w:id="1195197197">
          <w:marLeft w:val="0"/>
          <w:marRight w:val="0"/>
          <w:marTop w:val="0"/>
          <w:marBottom w:val="0"/>
          <w:divBdr>
            <w:top w:val="none" w:sz="0" w:space="0" w:color="auto"/>
            <w:left w:val="none" w:sz="0" w:space="0" w:color="auto"/>
            <w:bottom w:val="none" w:sz="0" w:space="0" w:color="auto"/>
            <w:right w:val="none" w:sz="0" w:space="0" w:color="auto"/>
          </w:divBdr>
        </w:div>
        <w:div w:id="1689135599">
          <w:marLeft w:val="0"/>
          <w:marRight w:val="0"/>
          <w:marTop w:val="0"/>
          <w:marBottom w:val="0"/>
          <w:divBdr>
            <w:top w:val="none" w:sz="0" w:space="0" w:color="auto"/>
            <w:left w:val="none" w:sz="0" w:space="0" w:color="auto"/>
            <w:bottom w:val="none" w:sz="0" w:space="0" w:color="auto"/>
            <w:right w:val="none" w:sz="0" w:space="0" w:color="auto"/>
          </w:divBdr>
        </w:div>
        <w:div w:id="1197157849">
          <w:marLeft w:val="0"/>
          <w:marRight w:val="0"/>
          <w:marTop w:val="0"/>
          <w:marBottom w:val="0"/>
          <w:divBdr>
            <w:top w:val="none" w:sz="0" w:space="0" w:color="auto"/>
            <w:left w:val="none" w:sz="0" w:space="0" w:color="auto"/>
            <w:bottom w:val="none" w:sz="0" w:space="0" w:color="auto"/>
            <w:right w:val="none" w:sz="0" w:space="0" w:color="auto"/>
          </w:divBdr>
        </w:div>
        <w:div w:id="1680889716">
          <w:marLeft w:val="0"/>
          <w:marRight w:val="0"/>
          <w:marTop w:val="0"/>
          <w:marBottom w:val="0"/>
          <w:divBdr>
            <w:top w:val="none" w:sz="0" w:space="0" w:color="auto"/>
            <w:left w:val="none" w:sz="0" w:space="0" w:color="auto"/>
            <w:bottom w:val="none" w:sz="0" w:space="0" w:color="auto"/>
            <w:right w:val="none" w:sz="0" w:space="0" w:color="auto"/>
          </w:divBdr>
        </w:div>
        <w:div w:id="703870327">
          <w:marLeft w:val="0"/>
          <w:marRight w:val="0"/>
          <w:marTop w:val="0"/>
          <w:marBottom w:val="0"/>
          <w:divBdr>
            <w:top w:val="none" w:sz="0" w:space="0" w:color="auto"/>
            <w:left w:val="none" w:sz="0" w:space="0" w:color="auto"/>
            <w:bottom w:val="none" w:sz="0" w:space="0" w:color="auto"/>
            <w:right w:val="none" w:sz="0" w:space="0" w:color="auto"/>
          </w:divBdr>
        </w:div>
        <w:div w:id="574322792">
          <w:marLeft w:val="0"/>
          <w:marRight w:val="0"/>
          <w:marTop w:val="0"/>
          <w:marBottom w:val="0"/>
          <w:divBdr>
            <w:top w:val="none" w:sz="0" w:space="0" w:color="auto"/>
            <w:left w:val="none" w:sz="0" w:space="0" w:color="auto"/>
            <w:bottom w:val="none" w:sz="0" w:space="0" w:color="auto"/>
            <w:right w:val="none" w:sz="0" w:space="0" w:color="auto"/>
          </w:divBdr>
        </w:div>
        <w:div w:id="1477182544">
          <w:marLeft w:val="0"/>
          <w:marRight w:val="0"/>
          <w:marTop w:val="0"/>
          <w:marBottom w:val="0"/>
          <w:divBdr>
            <w:top w:val="none" w:sz="0" w:space="0" w:color="auto"/>
            <w:left w:val="none" w:sz="0" w:space="0" w:color="auto"/>
            <w:bottom w:val="none" w:sz="0" w:space="0" w:color="auto"/>
            <w:right w:val="none" w:sz="0" w:space="0" w:color="auto"/>
          </w:divBdr>
        </w:div>
        <w:div w:id="1997419886">
          <w:marLeft w:val="0"/>
          <w:marRight w:val="0"/>
          <w:marTop w:val="0"/>
          <w:marBottom w:val="0"/>
          <w:divBdr>
            <w:top w:val="none" w:sz="0" w:space="0" w:color="auto"/>
            <w:left w:val="none" w:sz="0" w:space="0" w:color="auto"/>
            <w:bottom w:val="none" w:sz="0" w:space="0" w:color="auto"/>
            <w:right w:val="none" w:sz="0" w:space="0" w:color="auto"/>
          </w:divBdr>
        </w:div>
        <w:div w:id="1261646958">
          <w:marLeft w:val="0"/>
          <w:marRight w:val="0"/>
          <w:marTop w:val="0"/>
          <w:marBottom w:val="0"/>
          <w:divBdr>
            <w:top w:val="none" w:sz="0" w:space="0" w:color="auto"/>
            <w:left w:val="none" w:sz="0" w:space="0" w:color="auto"/>
            <w:bottom w:val="none" w:sz="0" w:space="0" w:color="auto"/>
            <w:right w:val="none" w:sz="0" w:space="0" w:color="auto"/>
          </w:divBdr>
        </w:div>
        <w:div w:id="1712806163">
          <w:marLeft w:val="0"/>
          <w:marRight w:val="0"/>
          <w:marTop w:val="0"/>
          <w:marBottom w:val="0"/>
          <w:divBdr>
            <w:top w:val="none" w:sz="0" w:space="0" w:color="auto"/>
            <w:left w:val="none" w:sz="0" w:space="0" w:color="auto"/>
            <w:bottom w:val="none" w:sz="0" w:space="0" w:color="auto"/>
            <w:right w:val="none" w:sz="0" w:space="0" w:color="auto"/>
          </w:divBdr>
        </w:div>
        <w:div w:id="1236353004">
          <w:marLeft w:val="0"/>
          <w:marRight w:val="0"/>
          <w:marTop w:val="0"/>
          <w:marBottom w:val="0"/>
          <w:divBdr>
            <w:top w:val="none" w:sz="0" w:space="0" w:color="auto"/>
            <w:left w:val="none" w:sz="0" w:space="0" w:color="auto"/>
            <w:bottom w:val="none" w:sz="0" w:space="0" w:color="auto"/>
            <w:right w:val="none" w:sz="0" w:space="0" w:color="auto"/>
          </w:divBdr>
        </w:div>
        <w:div w:id="1378579854">
          <w:marLeft w:val="0"/>
          <w:marRight w:val="0"/>
          <w:marTop w:val="0"/>
          <w:marBottom w:val="0"/>
          <w:divBdr>
            <w:top w:val="none" w:sz="0" w:space="0" w:color="auto"/>
            <w:left w:val="none" w:sz="0" w:space="0" w:color="auto"/>
            <w:bottom w:val="none" w:sz="0" w:space="0" w:color="auto"/>
            <w:right w:val="none" w:sz="0" w:space="0" w:color="auto"/>
          </w:divBdr>
        </w:div>
        <w:div w:id="86537366">
          <w:marLeft w:val="0"/>
          <w:marRight w:val="0"/>
          <w:marTop w:val="0"/>
          <w:marBottom w:val="0"/>
          <w:divBdr>
            <w:top w:val="none" w:sz="0" w:space="0" w:color="auto"/>
            <w:left w:val="none" w:sz="0" w:space="0" w:color="auto"/>
            <w:bottom w:val="none" w:sz="0" w:space="0" w:color="auto"/>
            <w:right w:val="none" w:sz="0" w:space="0" w:color="auto"/>
          </w:divBdr>
        </w:div>
        <w:div w:id="1221018006">
          <w:marLeft w:val="0"/>
          <w:marRight w:val="0"/>
          <w:marTop w:val="0"/>
          <w:marBottom w:val="0"/>
          <w:divBdr>
            <w:top w:val="none" w:sz="0" w:space="0" w:color="auto"/>
            <w:left w:val="none" w:sz="0" w:space="0" w:color="auto"/>
            <w:bottom w:val="none" w:sz="0" w:space="0" w:color="auto"/>
            <w:right w:val="none" w:sz="0" w:space="0" w:color="auto"/>
          </w:divBdr>
        </w:div>
        <w:div w:id="1083574691">
          <w:marLeft w:val="0"/>
          <w:marRight w:val="0"/>
          <w:marTop w:val="0"/>
          <w:marBottom w:val="0"/>
          <w:divBdr>
            <w:top w:val="none" w:sz="0" w:space="0" w:color="auto"/>
            <w:left w:val="none" w:sz="0" w:space="0" w:color="auto"/>
            <w:bottom w:val="none" w:sz="0" w:space="0" w:color="auto"/>
            <w:right w:val="none" w:sz="0" w:space="0" w:color="auto"/>
          </w:divBdr>
        </w:div>
        <w:div w:id="1258320059">
          <w:marLeft w:val="0"/>
          <w:marRight w:val="0"/>
          <w:marTop w:val="0"/>
          <w:marBottom w:val="0"/>
          <w:divBdr>
            <w:top w:val="none" w:sz="0" w:space="0" w:color="auto"/>
            <w:left w:val="none" w:sz="0" w:space="0" w:color="auto"/>
            <w:bottom w:val="none" w:sz="0" w:space="0" w:color="auto"/>
            <w:right w:val="none" w:sz="0" w:space="0" w:color="auto"/>
          </w:divBdr>
        </w:div>
        <w:div w:id="1387485917">
          <w:marLeft w:val="0"/>
          <w:marRight w:val="0"/>
          <w:marTop w:val="0"/>
          <w:marBottom w:val="0"/>
          <w:divBdr>
            <w:top w:val="none" w:sz="0" w:space="0" w:color="auto"/>
            <w:left w:val="none" w:sz="0" w:space="0" w:color="auto"/>
            <w:bottom w:val="none" w:sz="0" w:space="0" w:color="auto"/>
            <w:right w:val="none" w:sz="0" w:space="0" w:color="auto"/>
          </w:divBdr>
        </w:div>
        <w:div w:id="2097708311">
          <w:marLeft w:val="0"/>
          <w:marRight w:val="0"/>
          <w:marTop w:val="0"/>
          <w:marBottom w:val="0"/>
          <w:divBdr>
            <w:top w:val="none" w:sz="0" w:space="0" w:color="auto"/>
            <w:left w:val="none" w:sz="0" w:space="0" w:color="auto"/>
            <w:bottom w:val="none" w:sz="0" w:space="0" w:color="auto"/>
            <w:right w:val="none" w:sz="0" w:space="0" w:color="auto"/>
          </w:divBdr>
        </w:div>
        <w:div w:id="47414942">
          <w:marLeft w:val="0"/>
          <w:marRight w:val="0"/>
          <w:marTop w:val="0"/>
          <w:marBottom w:val="0"/>
          <w:divBdr>
            <w:top w:val="none" w:sz="0" w:space="0" w:color="auto"/>
            <w:left w:val="none" w:sz="0" w:space="0" w:color="auto"/>
            <w:bottom w:val="none" w:sz="0" w:space="0" w:color="auto"/>
            <w:right w:val="none" w:sz="0" w:space="0" w:color="auto"/>
          </w:divBdr>
        </w:div>
        <w:div w:id="521020566">
          <w:marLeft w:val="0"/>
          <w:marRight w:val="0"/>
          <w:marTop w:val="0"/>
          <w:marBottom w:val="0"/>
          <w:divBdr>
            <w:top w:val="none" w:sz="0" w:space="0" w:color="auto"/>
            <w:left w:val="none" w:sz="0" w:space="0" w:color="auto"/>
            <w:bottom w:val="none" w:sz="0" w:space="0" w:color="auto"/>
            <w:right w:val="none" w:sz="0" w:space="0" w:color="auto"/>
          </w:divBdr>
        </w:div>
        <w:div w:id="585696348">
          <w:marLeft w:val="0"/>
          <w:marRight w:val="0"/>
          <w:marTop w:val="0"/>
          <w:marBottom w:val="0"/>
          <w:divBdr>
            <w:top w:val="none" w:sz="0" w:space="0" w:color="auto"/>
            <w:left w:val="none" w:sz="0" w:space="0" w:color="auto"/>
            <w:bottom w:val="none" w:sz="0" w:space="0" w:color="auto"/>
            <w:right w:val="none" w:sz="0" w:space="0" w:color="auto"/>
          </w:divBdr>
        </w:div>
        <w:div w:id="1052079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mcp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Button</dc:creator>
  <cp:keywords/>
  <dc:description/>
  <cp:lastModifiedBy>Elly Button</cp:lastModifiedBy>
  <cp:revision>1</cp:revision>
  <dcterms:created xsi:type="dcterms:W3CDTF">2019-10-07T14:37:00Z</dcterms:created>
  <dcterms:modified xsi:type="dcterms:W3CDTF">2019-10-07T14:38:00Z</dcterms:modified>
</cp:coreProperties>
</file>